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6C8B8" w14:textId="77777777" w:rsidR="000C6957" w:rsidRPr="00F34E6F" w:rsidRDefault="000C6957">
      <w:pPr>
        <w:jc w:val="center"/>
        <w:rPr>
          <w:rFonts w:ascii="Times New Roman" w:hAnsi="Times New Roman" w:cs="Times New Roman"/>
          <w:sz w:val="24"/>
          <w:szCs w:val="24"/>
        </w:rPr>
      </w:pPr>
    </w:p>
    <w:p w14:paraId="3ED1271E" w14:textId="1CD1E3D4" w:rsidR="00F34E6F" w:rsidRPr="00F34E6F" w:rsidRDefault="00F34E6F" w:rsidP="003D79DA">
      <w:pPr>
        <w:spacing w:before="100" w:beforeAutospacing="1"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Kultuuriministeerium</w:t>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003D79DA">
        <w:rPr>
          <w:rFonts w:ascii="Times New Roman" w:eastAsia="Times New Roman" w:hAnsi="Times New Roman" w:cs="Times New Roman"/>
          <w:color w:val="000000"/>
          <w:sz w:val="24"/>
          <w:szCs w:val="24"/>
          <w:lang w:eastAsia="en-GB"/>
        </w:rPr>
        <w:br/>
        <w:t>Suur-Karja 23</w:t>
      </w:r>
      <w:r w:rsidR="003D79DA">
        <w:rPr>
          <w:rFonts w:ascii="Times New Roman" w:eastAsia="Times New Roman" w:hAnsi="Times New Roman" w:cs="Times New Roman"/>
          <w:color w:val="000000"/>
          <w:sz w:val="24"/>
          <w:szCs w:val="24"/>
          <w:lang w:eastAsia="en-GB"/>
        </w:rPr>
        <w:br/>
        <w:t>10148 Tallinn</w:t>
      </w:r>
    </w:p>
    <w:p w14:paraId="78D679D8" w14:textId="77777777" w:rsidR="00F34E6F" w:rsidRPr="00F34E6F" w:rsidRDefault="00F34E6F" w:rsidP="00F34E6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34E6F">
        <w:rPr>
          <w:rFonts w:ascii="Times New Roman" w:eastAsia="Times New Roman" w:hAnsi="Times New Roman" w:cs="Times New Roman"/>
          <w:color w:val="000000"/>
          <w:sz w:val="24"/>
          <w:szCs w:val="24"/>
          <w:lang w:eastAsia="en-GB"/>
        </w:rPr>
        <w:t xml:space="preserve">info@muinsuskaitseamet.ee </w:t>
      </w:r>
    </w:p>
    <w:p w14:paraId="06BCDB46" w14:textId="2B501A38" w:rsidR="00F34E6F" w:rsidRPr="00F34E6F" w:rsidRDefault="00F34E6F" w:rsidP="00F34E6F">
      <w:pPr>
        <w:spacing w:before="100" w:beforeAutospacing="1" w:after="100" w:afterAutospacing="1" w:line="240" w:lineRule="auto"/>
        <w:jc w:val="right"/>
        <w:rPr>
          <w:rFonts w:ascii="Times New Roman" w:eastAsia="Times New Roman" w:hAnsi="Times New Roman" w:cs="Times New Roman"/>
          <w:color w:val="000000"/>
          <w:sz w:val="24"/>
          <w:szCs w:val="24"/>
          <w:lang w:eastAsia="en-GB"/>
        </w:rPr>
      </w:pP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sidRPr="00F34E6F">
        <w:rPr>
          <w:rFonts w:ascii="Times New Roman" w:eastAsia="Times New Roman" w:hAnsi="Times New Roman" w:cs="Times New Roman"/>
          <w:color w:val="000000"/>
          <w:sz w:val="24"/>
          <w:szCs w:val="24"/>
          <w:lang w:eastAsia="en-GB"/>
        </w:rPr>
        <w:tab/>
      </w:r>
      <w:r>
        <w:rPr>
          <w:rFonts w:ascii="Times New Roman" w:eastAsia="Times New Roman" w:hAnsi="Times New Roman" w:cs="Times New Roman"/>
          <w:color w:val="000000"/>
          <w:sz w:val="24"/>
          <w:szCs w:val="24"/>
          <w:lang w:eastAsia="en-GB"/>
        </w:rPr>
        <w:t>7</w:t>
      </w:r>
      <w:r w:rsidRPr="00F34E6F">
        <w:rPr>
          <w:rFonts w:ascii="Times New Roman" w:eastAsia="Times New Roman" w:hAnsi="Times New Roman" w:cs="Times New Roman"/>
          <w:color w:val="000000"/>
          <w:sz w:val="24"/>
          <w:szCs w:val="24"/>
          <w:lang w:eastAsia="en-GB"/>
        </w:rPr>
        <w:t>.</w:t>
      </w:r>
      <w:r w:rsidR="003D79DA">
        <w:rPr>
          <w:rFonts w:ascii="Times New Roman" w:eastAsia="Times New Roman" w:hAnsi="Times New Roman" w:cs="Times New Roman"/>
          <w:color w:val="000000"/>
          <w:sz w:val="24"/>
          <w:szCs w:val="24"/>
          <w:lang w:eastAsia="en-GB"/>
        </w:rPr>
        <w:t xml:space="preserve"> juuni </w:t>
      </w:r>
      <w:r w:rsidRPr="00F34E6F">
        <w:rPr>
          <w:rFonts w:ascii="Times New Roman" w:eastAsia="Times New Roman" w:hAnsi="Times New Roman" w:cs="Times New Roman"/>
          <w:color w:val="000000"/>
          <w:sz w:val="24"/>
          <w:szCs w:val="24"/>
          <w:lang w:eastAsia="en-GB"/>
        </w:rPr>
        <w:t>2024</w:t>
      </w:r>
    </w:p>
    <w:p w14:paraId="0B45D1C5" w14:textId="0CBA0704" w:rsidR="00F34E6F" w:rsidRPr="00F34E6F" w:rsidRDefault="00B9734E" w:rsidP="00F34E6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B9734E">
        <w:rPr>
          <w:rFonts w:ascii="Times New Roman" w:eastAsia="Times New Roman" w:hAnsi="Times New Roman" w:cs="Times New Roman"/>
          <w:color w:val="000000"/>
          <w:sz w:val="24"/>
          <w:szCs w:val="24"/>
          <w:lang w:eastAsia="en-GB"/>
        </w:rPr>
        <w:t>Muinsuskaitse toetuste määrus - Eesti Omanike Keskliidu ettepanekud</w:t>
      </w:r>
      <w:r>
        <w:rPr>
          <w:rFonts w:ascii="Times New Roman" w:eastAsia="Times New Roman" w:hAnsi="Times New Roman" w:cs="Times New Roman"/>
          <w:color w:val="000000"/>
          <w:sz w:val="24"/>
          <w:szCs w:val="24"/>
          <w:lang w:eastAsia="en-GB"/>
        </w:rPr>
        <w:br/>
      </w:r>
      <w:r>
        <w:rPr>
          <w:rFonts w:ascii="Times New Roman" w:eastAsia="Times New Roman" w:hAnsi="Times New Roman" w:cs="Times New Roman"/>
          <w:color w:val="000000"/>
          <w:sz w:val="24"/>
          <w:szCs w:val="24"/>
          <w:lang w:eastAsia="en-GB"/>
        </w:rPr>
        <w:br/>
      </w:r>
      <w:r w:rsidR="00F34E6F">
        <w:rPr>
          <w:rFonts w:ascii="Times New Roman" w:eastAsia="Times New Roman" w:hAnsi="Times New Roman" w:cs="Times New Roman"/>
          <w:color w:val="000000"/>
          <w:sz w:val="24"/>
          <w:szCs w:val="24"/>
          <w:lang w:eastAsia="en-GB"/>
        </w:rPr>
        <w:t>Lugupeetud Reesi Sild</w:t>
      </w:r>
    </w:p>
    <w:p w14:paraId="4BBC6057" w14:textId="09A16A10" w:rsidR="00F34E6F" w:rsidRPr="005401FB" w:rsidRDefault="00F34E6F" w:rsidP="00F34E6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401FB">
        <w:rPr>
          <w:rFonts w:ascii="Times New Roman" w:eastAsia="Times New Roman" w:hAnsi="Times New Roman" w:cs="Times New Roman"/>
          <w:color w:val="000000"/>
          <w:sz w:val="24"/>
          <w:szCs w:val="24"/>
          <w:lang w:eastAsia="en-GB"/>
        </w:rPr>
        <w:t xml:space="preserve">Kuna praegu on </w:t>
      </w:r>
      <w:r w:rsidR="00AD1439">
        <w:rPr>
          <w:rFonts w:ascii="Times New Roman" w:eastAsia="Times New Roman" w:hAnsi="Times New Roman" w:cs="Times New Roman"/>
          <w:color w:val="000000"/>
          <w:sz w:val="24"/>
          <w:szCs w:val="24"/>
          <w:lang w:eastAsia="en-GB"/>
        </w:rPr>
        <w:t xml:space="preserve">töös </w:t>
      </w:r>
      <w:r w:rsidRPr="005401FB">
        <w:rPr>
          <w:rFonts w:ascii="Times New Roman" w:eastAsia="Times New Roman" w:hAnsi="Times New Roman" w:cs="Times New Roman"/>
          <w:color w:val="000000"/>
          <w:sz w:val="24"/>
          <w:szCs w:val="24"/>
          <w:lang w:eastAsia="en-GB"/>
        </w:rPr>
        <w:t>Muinsuskaitseameti toetuste määrus, siis soovime teha oma ettepanekud riiklike toetuste jagamise efektiivsemaks jaotamiseks:</w:t>
      </w:r>
    </w:p>
    <w:p w14:paraId="14C8B8F5"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t>1. Toetused peavad olema vajaduspõhised. Selleks on vaja metoodikat, mille väljatöötamisel saame abiks olla.</w:t>
      </w:r>
    </w:p>
    <w:p w14:paraId="736C5030"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t>Muinsuskaitseameti poolt jaotatavate toetust puhul tuleb muude mõõdikute kõrval arvestada taotleja majandusliku olukorraga. Sealjuures tuleks toetuste väljamaksmisel anda eelisseisund madalama sissetulekuga mälestiste ja muinsuskaitsealadel asuvate ehitiste omanikele ja/või korteriühistutele. Taotleja majandusliku olukorra arvestamine on vajalik selleks, et tagada mälestiste säilimine olukorras, kus selle omanikeks on keskmisest madalama sissetulekuga isikud ja leibkonnad. Samuti väheneb seetõttu oht, et riik on sunnitud mälestise säilimise tagamiseks selle muinsuskaitseseaduse alusel sundvõõrandama. Kuna riikliku kaitse all olevatest rohkem kui 15 000 ehitistest suurem osa on kasutuses eluruumina, siis on majandusliku vajaduse põhine toetamine (mälestise parema kaitsmise ja/või sundvõõrandamise kõrval) oluline ka sotsiaalsest vaatepunktist.</w:t>
      </w:r>
    </w:p>
    <w:p w14:paraId="1D4D42B1"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t>2. Omafinantseeringu suurust ei tohiks hetkel tõsta, kuna ehitismälestiste remondivõlg on liiga suur. Kõigepealt tuleb ära teha mälestiste revisjon ja siis vaadata, millised kaitse alla jäävad. Liiga hävinud mälestised saab kaitse alt maha võtta, kui nende säilimist ei soovita, mitte panna nende omanikud hetkel ebasoodsasse seisu. Olemasolev süsteem soosib niikuinii suuremat omafinantseeringut andes selle eest taotlejale lisapunkte. Kui tahetakse premeerida jõukamaid omanikke ja ettevõtjaid, siis mitte toetuste suunamisega neile, vaid neile tuleks vähendada omandipiiranguid ning neile rohkem vabadust anda otsuste tegemises.  </w:t>
      </w:r>
    </w:p>
    <w:p w14:paraId="38044084"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401FB">
        <w:rPr>
          <w:rFonts w:ascii="Times New Roman" w:eastAsia="Times New Roman" w:hAnsi="Times New Roman" w:cs="Times New Roman"/>
          <w:color w:val="000000"/>
          <w:sz w:val="24"/>
          <w:szCs w:val="24"/>
          <w:lang w:eastAsia="en-GB"/>
        </w:rPr>
        <w:t>3. Kuna enamus ehitismälestistest kuuluvad eraomandisse, siis peavad jagunema toetused ka proportsionaalselt eraomanikele. Ehk siis tegelikud kasusaajad peavad olema eraomanikud. Toetused peavad jagunema rahaliselt summaarselt (mitte toetavate projektide arvu järgi) 90% ulatuses erasektorile ja eelistada tuleb koduomanikke. Riigile või riigi omanduses olevatele asutustele kuuluvad mälestised ei tohiks olla toetatavad MKA niigi väga piiratud meetmetest.</w:t>
      </w:r>
    </w:p>
    <w:p w14:paraId="162BD4FB"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t>4. Tähtajaline taotlusvoor peaks olema mõeldud ainult neile, kes pole Omandireformi reservfondist abikõlblikud. Kuna ORF on välja töötatud eelkõige kirikute jaoks, siis ei peaks need kirikud saama toetusi tähtajalisest taotlusvoorust. See, et mõne mälestise omanik saab raha mitmest taskust, aga mõni ainult ühest, on diskrimineeriv.</w:t>
      </w:r>
    </w:p>
    <w:p w14:paraId="2A967089"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lastRenderedPageBreak/>
        <w:t>5. Tähtajalises taotlusvoorus on siiani linnused saanud ebaproportsionaalselt palju toetusi, seega peavad toetused jagunema rahaliselt proportsionaalselt erinevate ehitismälestiste liikide vahel ja tasakaalu huvides tuleks eelistada nüüd teiste ehitismälestiste liikide omanikke.</w:t>
      </w:r>
    </w:p>
    <w:p w14:paraId="6867F8F4"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t>6. Arvesse tuleb võtta toetuse mõju suurust mälestise säilimisele ja arendamisele. Jooksva remondi toetamist ei saa eelistada investeeringule, mis võimaldab näiteks ehitismälestist funktsionaalselt kasutusele võtta. Kui toetus toob kaasa mälestise arendamisel olulise arenguhüppe, mis on kriitiline ja vajalik mälestise järgnevaks taastamiseks, siis seda tuleb eelistada taotlustele, mille käigus soovitakse teha pigem jooksvat remonti.</w:t>
      </w:r>
    </w:p>
    <w:p w14:paraId="77C6A9E4"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sz w:val="24"/>
          <w:szCs w:val="24"/>
          <w:lang w:eastAsia="en-GB"/>
        </w:rPr>
      </w:pPr>
      <w:r w:rsidRPr="005401FB">
        <w:rPr>
          <w:rFonts w:ascii="Times New Roman" w:eastAsia="Times New Roman" w:hAnsi="Times New Roman" w:cs="Times New Roman"/>
          <w:color w:val="000000"/>
          <w:sz w:val="24"/>
          <w:szCs w:val="24"/>
          <w:lang w:eastAsia="en-GB"/>
        </w:rPr>
        <w:t>7. Vähendada tuleb ametnike suva järgi hindepunktide andmist. Süsteem peab muutuma läbipaistvamaks ja objektiivsemaks. Hindepunktid ühele objektile ja samasisulisele investeeringule peavad olema aastate lõikes samad - näiteks hindamiskriteerium "ehitise kultuuriline, arhitektuuriline ja ajalooline väärtus". Anomaaliad, kus antud hindepunktide järgi on aastate lõikes restaureerimise tagajärjel objekti ajaloolis-kultuuriline väärtus langenud, tuleb välistada.</w:t>
      </w:r>
    </w:p>
    <w:p w14:paraId="1B707655" w14:textId="77777777" w:rsidR="00F34E6F" w:rsidRPr="005401FB" w:rsidRDefault="00F34E6F" w:rsidP="00F34E6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401FB">
        <w:rPr>
          <w:rFonts w:ascii="Times New Roman" w:eastAsia="Times New Roman" w:hAnsi="Times New Roman" w:cs="Times New Roman"/>
          <w:color w:val="000000"/>
          <w:sz w:val="24"/>
          <w:szCs w:val="24"/>
          <w:lang w:eastAsia="en-GB"/>
        </w:rPr>
        <w:t>Eesti Omanike Keskliit soovib olla Kultuuriministeeriumile ja Muinsuskaitseametile juhtpartneriks omanike huvide esindamisel ja ka toetuste jagamise määruste väljatöötamisel.</w:t>
      </w:r>
    </w:p>
    <w:p w14:paraId="447860F0" w14:textId="77777777" w:rsidR="00F34E6F" w:rsidRPr="00F34E6F" w:rsidRDefault="00F34E6F" w:rsidP="00F34E6F">
      <w:pPr>
        <w:pStyle w:val="NormalWeb"/>
        <w:shd w:val="clear" w:color="auto" w:fill="FFFFFF"/>
        <w:rPr>
          <w:lang w:val="et"/>
        </w:rPr>
      </w:pPr>
    </w:p>
    <w:p w14:paraId="08AAFD4C" w14:textId="054AB4B8" w:rsidR="00F34E6F" w:rsidRDefault="003D79DA" w:rsidP="00F34E6F">
      <w:pPr>
        <w:pStyle w:val="Default"/>
        <w:spacing w:line="276" w:lineRule="auto"/>
        <w:jc w:val="both"/>
        <w:rPr>
          <w:rFonts w:eastAsia="Times New Roman"/>
          <w:color w:val="auto"/>
        </w:rPr>
      </w:pPr>
      <w:r>
        <w:rPr>
          <w:rFonts w:eastAsia="Times New Roman"/>
          <w:color w:val="auto"/>
        </w:rPr>
        <w:t>Lugupidamisega</w:t>
      </w:r>
    </w:p>
    <w:p w14:paraId="0B98F543" w14:textId="77777777" w:rsidR="003D79DA" w:rsidRDefault="003D79DA" w:rsidP="00F34E6F">
      <w:pPr>
        <w:pStyle w:val="Default"/>
        <w:spacing w:line="276" w:lineRule="auto"/>
        <w:jc w:val="both"/>
        <w:rPr>
          <w:rFonts w:eastAsia="Times New Roman"/>
          <w:color w:val="auto"/>
        </w:rPr>
      </w:pPr>
    </w:p>
    <w:p w14:paraId="240BF9E5" w14:textId="4E745267" w:rsidR="003D79DA" w:rsidRDefault="003D79DA" w:rsidP="00F34E6F">
      <w:pPr>
        <w:pStyle w:val="Default"/>
        <w:spacing w:line="276" w:lineRule="auto"/>
        <w:jc w:val="both"/>
        <w:rPr>
          <w:rFonts w:eastAsia="Times New Roman"/>
          <w:color w:val="auto"/>
        </w:rPr>
      </w:pPr>
      <w:r>
        <w:rPr>
          <w:rFonts w:eastAsia="Times New Roman"/>
          <w:color w:val="auto"/>
        </w:rPr>
        <w:t>(allkirjastatud digitaalselt)</w:t>
      </w:r>
    </w:p>
    <w:p w14:paraId="520B5A60" w14:textId="77777777" w:rsidR="003D79DA" w:rsidRPr="00F34E6F" w:rsidRDefault="003D79DA" w:rsidP="00F34E6F">
      <w:pPr>
        <w:pStyle w:val="Default"/>
        <w:spacing w:line="276" w:lineRule="auto"/>
        <w:jc w:val="both"/>
        <w:rPr>
          <w:rFonts w:eastAsia="Times New Roman"/>
          <w:color w:val="auto"/>
        </w:rPr>
      </w:pPr>
    </w:p>
    <w:p w14:paraId="22C3F778" w14:textId="4164AEA7" w:rsidR="00F34E6F" w:rsidRPr="00F34E6F" w:rsidRDefault="00F34E6F" w:rsidP="00F34E6F">
      <w:pPr>
        <w:pStyle w:val="Default"/>
        <w:spacing w:line="276" w:lineRule="auto"/>
        <w:jc w:val="both"/>
        <w:rPr>
          <w:rFonts w:eastAsia="Times New Roman"/>
          <w:color w:val="auto"/>
        </w:rPr>
      </w:pPr>
      <w:r>
        <w:rPr>
          <w:rFonts w:eastAsia="Times New Roman"/>
          <w:color w:val="auto"/>
        </w:rPr>
        <w:t>Ivo Lambing</w:t>
      </w:r>
    </w:p>
    <w:p w14:paraId="2CF8D171" w14:textId="7450319F" w:rsidR="000C6957" w:rsidRPr="00F34E6F" w:rsidRDefault="003D79DA" w:rsidP="00F34E6F">
      <w:pPr>
        <w:pStyle w:val="Default"/>
        <w:spacing w:line="276" w:lineRule="auto"/>
        <w:jc w:val="both"/>
        <w:rPr>
          <w:rFonts w:eastAsia="Times New Roman"/>
          <w:color w:val="auto"/>
        </w:rPr>
      </w:pPr>
      <w:r>
        <w:rPr>
          <w:rFonts w:eastAsia="Times New Roman"/>
          <w:color w:val="auto"/>
        </w:rPr>
        <w:t>j</w:t>
      </w:r>
      <w:r w:rsidR="00F34E6F" w:rsidRPr="00F34E6F">
        <w:rPr>
          <w:rFonts w:eastAsia="Times New Roman"/>
          <w:color w:val="auto"/>
        </w:rPr>
        <w:t xml:space="preserve">uhatuse </w:t>
      </w:r>
      <w:r w:rsidR="00F34E6F">
        <w:rPr>
          <w:rFonts w:eastAsia="Times New Roman"/>
          <w:color w:val="auto"/>
        </w:rPr>
        <w:t>liige</w:t>
      </w:r>
    </w:p>
    <w:p w14:paraId="60879FB6" w14:textId="6F4FD318" w:rsidR="000C6957" w:rsidRDefault="00F34E6F">
      <w:pPr>
        <w:spacing w:line="240" w:lineRule="auto"/>
        <w:jc w:val="both"/>
        <w:rPr>
          <w:rFonts w:ascii="Times New Roman" w:hAnsi="Times New Roman" w:cs="Times New Roman"/>
          <w:sz w:val="24"/>
          <w:szCs w:val="24"/>
        </w:rPr>
      </w:pPr>
      <w:r>
        <w:rPr>
          <w:rFonts w:ascii="Times New Roman" w:hAnsi="Times New Roman" w:cs="Times New Roman"/>
          <w:sz w:val="24"/>
          <w:szCs w:val="24"/>
        </w:rPr>
        <w:t>Mob 56244382</w:t>
      </w:r>
    </w:p>
    <w:p w14:paraId="129FFE2C" w14:textId="77777777" w:rsidR="00F34E6F" w:rsidRDefault="00F34E6F">
      <w:pPr>
        <w:spacing w:line="240" w:lineRule="auto"/>
        <w:jc w:val="both"/>
        <w:rPr>
          <w:rFonts w:ascii="Times New Roman" w:hAnsi="Times New Roman" w:cs="Times New Roman"/>
          <w:sz w:val="24"/>
          <w:szCs w:val="24"/>
        </w:rPr>
      </w:pPr>
    </w:p>
    <w:p w14:paraId="24F848D1" w14:textId="77777777" w:rsidR="00B9734E" w:rsidRDefault="00B9734E">
      <w:pPr>
        <w:spacing w:line="240" w:lineRule="auto"/>
        <w:jc w:val="both"/>
        <w:rPr>
          <w:rFonts w:ascii="Times New Roman" w:hAnsi="Times New Roman" w:cs="Times New Roman"/>
          <w:sz w:val="24"/>
          <w:szCs w:val="24"/>
        </w:rPr>
      </w:pPr>
    </w:p>
    <w:p w14:paraId="0D02BD94" w14:textId="72363F06" w:rsidR="00F34E6F" w:rsidRDefault="00F34E6F">
      <w:pPr>
        <w:spacing w:line="240" w:lineRule="auto"/>
        <w:jc w:val="both"/>
        <w:rPr>
          <w:rFonts w:ascii="Times New Roman" w:hAnsi="Times New Roman" w:cs="Times New Roman"/>
          <w:sz w:val="24"/>
          <w:szCs w:val="24"/>
        </w:rPr>
      </w:pPr>
      <w:r>
        <w:rPr>
          <w:rFonts w:ascii="Times New Roman" w:hAnsi="Times New Roman" w:cs="Times New Roman"/>
          <w:sz w:val="24"/>
          <w:szCs w:val="24"/>
        </w:rPr>
        <w:t>Koopia</w:t>
      </w:r>
      <w:r w:rsidR="00B9734E">
        <w:rPr>
          <w:rFonts w:ascii="Times New Roman" w:hAnsi="Times New Roman" w:cs="Times New Roman"/>
          <w:sz w:val="24"/>
          <w:szCs w:val="24"/>
        </w:rPr>
        <w:t>d</w:t>
      </w:r>
      <w:r>
        <w:rPr>
          <w:rFonts w:ascii="Times New Roman" w:hAnsi="Times New Roman" w:cs="Times New Roman"/>
          <w:sz w:val="24"/>
          <w:szCs w:val="24"/>
        </w:rPr>
        <w:t xml:space="preserve">: </w:t>
      </w:r>
      <w:r w:rsidR="00B9734E">
        <w:rPr>
          <w:rFonts w:ascii="Times New Roman" w:hAnsi="Times New Roman" w:cs="Times New Roman"/>
          <w:sz w:val="24"/>
          <w:szCs w:val="24"/>
        </w:rPr>
        <w:tab/>
        <w:t>Marilin Mihkelson, Muinsuskaitseamet</w:t>
      </w:r>
    </w:p>
    <w:p w14:paraId="229C57C1" w14:textId="5538E9A3" w:rsidR="00B9734E" w:rsidRDefault="00B9734E">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Kristo-Taavi Ruus, Muinsuskaitseamet</w:t>
      </w:r>
    </w:p>
    <w:p w14:paraId="45534132" w14:textId="56210BCC" w:rsidR="00B9734E" w:rsidRPr="00F34E6F" w:rsidRDefault="00B9734E">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Kais Matteus, Muinsuskaitseamet</w:t>
      </w:r>
    </w:p>
    <w:sectPr w:rsidR="00B9734E" w:rsidRPr="00F34E6F">
      <w:headerReference w:type="default" r:id="rId6"/>
      <w:footerReference w:type="default" r:id="rId7"/>
      <w:pgSz w:w="11906" w:h="16838"/>
      <w:pgMar w:top="1440" w:right="1440" w:bottom="1440" w:left="1440" w:header="720" w:footer="72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BCBC7" w14:textId="77777777" w:rsidR="002C7C0C" w:rsidRDefault="002C7C0C">
      <w:pPr>
        <w:spacing w:line="240" w:lineRule="auto"/>
      </w:pPr>
      <w:r>
        <w:separator/>
      </w:r>
    </w:p>
  </w:endnote>
  <w:endnote w:type="continuationSeparator" w:id="0">
    <w:p w14:paraId="3328B964" w14:textId="77777777" w:rsidR="002C7C0C" w:rsidRDefault="002C7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E1E82" w14:textId="77777777" w:rsidR="000C6957" w:rsidRDefault="00000000">
    <w:pPr>
      <w:spacing w:before="113" w:line="240" w:lineRule="auto"/>
      <w:jc w:val="center"/>
      <w:rPr>
        <w:b/>
        <w:sz w:val="16"/>
        <w:szCs w:val="16"/>
      </w:rPr>
    </w:pPr>
    <w:r>
      <w:rPr>
        <w:sz w:val="16"/>
        <w:szCs w:val="16"/>
      </w:rPr>
      <w:t xml:space="preserve">Rävala pst 8 Tallinn 10143   </w:t>
    </w:r>
    <w:r>
      <w:rPr>
        <w:color w:val="AF0F23"/>
        <w:sz w:val="16"/>
        <w:szCs w:val="16"/>
      </w:rPr>
      <w:t>•</w:t>
    </w:r>
    <w:r>
      <w:rPr>
        <w:sz w:val="16"/>
        <w:szCs w:val="16"/>
      </w:rPr>
      <w:t xml:space="preserve">   tel: +372 642 7020   </w:t>
    </w:r>
    <w:r>
      <w:rPr>
        <w:color w:val="AF0F23"/>
        <w:sz w:val="16"/>
        <w:szCs w:val="16"/>
      </w:rPr>
      <w:t>•</w:t>
    </w:r>
    <w:r>
      <w:rPr>
        <w:sz w:val="16"/>
        <w:szCs w:val="16"/>
      </w:rPr>
      <w:t xml:space="preserve">   e-post: omanikud@omanikud.ee   </w:t>
    </w:r>
    <w:r>
      <w:rPr>
        <w:color w:val="AF0F23"/>
        <w:sz w:val="16"/>
        <w:szCs w:val="16"/>
      </w:rPr>
      <w:t>•</w:t>
    </w:r>
    <w:r>
      <w:rPr>
        <w:sz w:val="16"/>
        <w:szCs w:val="16"/>
      </w:rPr>
      <w:t xml:space="preserve">   </w:t>
    </w:r>
    <w:r>
      <w:rPr>
        <w:b/>
        <w:sz w:val="16"/>
        <w:szCs w:val="16"/>
      </w:rPr>
      <w:t>www.omanikud.ee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7706F" w14:textId="77777777" w:rsidR="002C7C0C" w:rsidRDefault="002C7C0C">
      <w:pPr>
        <w:spacing w:line="240" w:lineRule="auto"/>
      </w:pPr>
      <w:r>
        <w:separator/>
      </w:r>
    </w:p>
  </w:footnote>
  <w:footnote w:type="continuationSeparator" w:id="0">
    <w:p w14:paraId="4485AB09" w14:textId="77777777" w:rsidR="002C7C0C" w:rsidRDefault="002C7C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71645" w14:textId="77777777" w:rsidR="000C6957" w:rsidRDefault="00000000">
    <w:r>
      <w:rPr>
        <w:noProof/>
      </w:rPr>
      <w:drawing>
        <wp:anchor distT="0" distB="0" distL="0" distR="0" simplePos="0" relativeHeight="2" behindDoc="1" locked="0" layoutInCell="1" allowOverlap="1" wp14:anchorId="7E8C6444" wp14:editId="6AEF7817">
          <wp:simplePos x="0" y="0"/>
          <wp:positionH relativeFrom="column">
            <wp:posOffset>-539750</wp:posOffset>
          </wp:positionH>
          <wp:positionV relativeFrom="paragraph">
            <wp:posOffset>635</wp:posOffset>
          </wp:positionV>
          <wp:extent cx="6756400" cy="9829800"/>
          <wp:effectExtent l="0" t="0" r="0" b="0"/>
          <wp:wrapNone/>
          <wp:docPr id="1" name="image1.png" descr="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blank"/>
                  <pic:cNvPicPr>
                    <a:picLocks noChangeAspect="1" noChangeArrowheads="1"/>
                  </pic:cNvPicPr>
                </pic:nvPicPr>
                <pic:blipFill>
                  <a:blip r:embed="rId1"/>
                  <a:stretch>
                    <a:fillRect/>
                  </a:stretch>
                </pic:blipFill>
                <pic:spPr bwMode="auto">
                  <a:xfrm>
                    <a:off x="0" y="0"/>
                    <a:ext cx="6756400" cy="98298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957"/>
    <w:rsid w:val="000C6957"/>
    <w:rsid w:val="002C7C0C"/>
    <w:rsid w:val="003D79DA"/>
    <w:rsid w:val="00407D7D"/>
    <w:rsid w:val="00A97ED4"/>
    <w:rsid w:val="00AD1439"/>
    <w:rsid w:val="00B9734E"/>
    <w:rsid w:val="00F31D21"/>
    <w:rsid w:val="00F34E6F"/>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73CE"/>
  <w15:docId w15:val="{FD3E1D72-CA00-406C-9ED5-947F6594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t"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eastAsia="Microsoft YaHei"/>
      <w:sz w:val="28"/>
      <w:szCs w:val="28"/>
    </w:rPr>
  </w:style>
  <w:style w:type="paragraph" w:styleId="BodyText">
    <w:name w:val="Body Text"/>
    <w:basedOn w:val="Normal"/>
    <w:pPr>
      <w:spacing w:after="14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style>
  <w:style w:type="paragraph" w:styleId="Footer">
    <w:name w:val="footer"/>
    <w:basedOn w:val="Normal"/>
  </w:style>
  <w:style w:type="table" w:customStyle="1" w:styleId="TableNormal1">
    <w:name w:val="Table Normal1"/>
    <w:tblPr>
      <w:tblCellMar>
        <w:top w:w="0" w:type="dxa"/>
        <w:left w:w="0" w:type="dxa"/>
        <w:bottom w:w="0" w:type="dxa"/>
        <w:right w:w="0" w:type="dxa"/>
      </w:tblCellMar>
    </w:tblPr>
  </w:style>
  <w:style w:type="paragraph" w:styleId="NormalWeb">
    <w:name w:val="Normal (Web)"/>
    <w:basedOn w:val="Normal"/>
    <w:uiPriority w:val="99"/>
    <w:unhideWhenUsed/>
    <w:rsid w:val="00F34E6F"/>
    <w:pPr>
      <w:spacing w:before="100" w:beforeAutospacing="1" w:after="100" w:afterAutospacing="1" w:line="240" w:lineRule="auto"/>
    </w:pPr>
    <w:rPr>
      <w:rFonts w:ascii="Times New Roman" w:eastAsia="Times New Roman" w:hAnsi="Times New Roman" w:cs="Times New Roman"/>
      <w:sz w:val="24"/>
      <w:szCs w:val="24"/>
      <w:lang w:val="en-GB" w:eastAsia="en-GB"/>
      <w14:ligatures w14:val="standardContextual"/>
    </w:rPr>
  </w:style>
  <w:style w:type="paragraph" w:customStyle="1" w:styleId="Default">
    <w:name w:val="Default"/>
    <w:rsid w:val="00F34E6F"/>
    <w:pPr>
      <w:suppressAutoHyphens/>
      <w:autoSpaceDE w:val="0"/>
      <w:autoSpaceDN w:val="0"/>
    </w:pPr>
    <w:rPr>
      <w:rFonts w:ascii="Times New Roman" w:eastAsia="Calibri" w:hAnsi="Times New Roman" w:cs="Times New Roman"/>
      <w:color w:val="000000"/>
      <w:sz w:val="24"/>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512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Krass</dc:creator>
  <dc:description/>
  <cp:lastModifiedBy>Karmel  Jõesoo</cp:lastModifiedBy>
  <cp:revision>2</cp:revision>
  <dcterms:created xsi:type="dcterms:W3CDTF">2024-06-07T09:18:00Z</dcterms:created>
  <dcterms:modified xsi:type="dcterms:W3CDTF">2024-06-07T09:18:00Z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